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10ADE" w14:textId="77777777" w:rsidR="00F57A45" w:rsidRPr="002D57F8" w:rsidRDefault="00000000">
      <w:pPr>
        <w:spacing w:line="600" w:lineRule="exact"/>
        <w:jc w:val="center"/>
        <w:rPr>
          <w:rFonts w:ascii="宋体" w:hAnsi="宋体" w:hint="eastAsia"/>
          <w:sz w:val="28"/>
          <w:szCs w:val="28"/>
        </w:rPr>
      </w:pPr>
      <w:r w:rsidRPr="002D57F8">
        <w:rPr>
          <w:rFonts w:ascii="宋体" w:hAnsi="宋体" w:hint="eastAsia"/>
          <w:sz w:val="28"/>
          <w:szCs w:val="28"/>
        </w:rPr>
        <w:t xml:space="preserve">证券代码：002037   </w:t>
      </w:r>
      <w:r w:rsidRPr="002D57F8">
        <w:rPr>
          <w:rFonts w:ascii="宋体" w:hAnsi="宋体"/>
          <w:sz w:val="28"/>
          <w:szCs w:val="28"/>
        </w:rPr>
        <w:t xml:space="preserve">    </w:t>
      </w:r>
      <w:r w:rsidRPr="002D57F8">
        <w:rPr>
          <w:rFonts w:ascii="宋体" w:hAnsi="宋体" w:hint="eastAsia"/>
          <w:sz w:val="28"/>
          <w:szCs w:val="28"/>
        </w:rPr>
        <w:t xml:space="preserve"> 证券简称：保利联合  </w:t>
      </w:r>
      <w:r w:rsidRPr="002D57F8">
        <w:rPr>
          <w:rFonts w:ascii="宋体" w:hAnsi="宋体"/>
          <w:sz w:val="28"/>
          <w:szCs w:val="28"/>
        </w:rPr>
        <w:t xml:space="preserve"> </w:t>
      </w:r>
      <w:r w:rsidRPr="002D57F8">
        <w:rPr>
          <w:rFonts w:ascii="宋体" w:hAnsi="宋体" w:hint="eastAsia"/>
          <w:sz w:val="28"/>
          <w:szCs w:val="28"/>
        </w:rPr>
        <w:t xml:space="preserve"> </w:t>
      </w:r>
      <w:r w:rsidRPr="002D57F8">
        <w:rPr>
          <w:rFonts w:ascii="宋体" w:hAnsi="宋体"/>
          <w:sz w:val="28"/>
          <w:szCs w:val="28"/>
        </w:rPr>
        <w:t xml:space="preserve">   </w:t>
      </w:r>
      <w:r w:rsidRPr="002D57F8">
        <w:rPr>
          <w:rFonts w:ascii="宋体" w:hAnsi="宋体" w:hint="eastAsia"/>
          <w:sz w:val="28"/>
          <w:szCs w:val="28"/>
        </w:rPr>
        <w:t>公告编号：2026-04</w:t>
      </w:r>
    </w:p>
    <w:p w14:paraId="11FAC12A" w14:textId="77777777" w:rsidR="00F57A45" w:rsidRPr="002D57F8" w:rsidRDefault="00F57A45">
      <w:pPr>
        <w:spacing w:beforeLines="50" w:before="156" w:afterLines="50" w:after="156" w:line="312" w:lineRule="auto"/>
        <w:rPr>
          <w:rFonts w:ascii="宋体" w:hAnsi="宋体" w:hint="eastAsia"/>
          <w:b/>
        </w:rPr>
      </w:pPr>
    </w:p>
    <w:p w14:paraId="5BD12BEB" w14:textId="77777777" w:rsidR="00F57A45" w:rsidRPr="002D57F8" w:rsidRDefault="00000000">
      <w:pPr>
        <w:spacing w:line="360" w:lineRule="auto"/>
        <w:jc w:val="center"/>
        <w:outlineLvl w:val="0"/>
        <w:rPr>
          <w:rFonts w:ascii="宋体" w:hAnsi="宋体" w:hint="eastAsia"/>
          <w:b/>
          <w:sz w:val="36"/>
          <w:szCs w:val="36"/>
        </w:rPr>
      </w:pPr>
      <w:r w:rsidRPr="002D57F8">
        <w:rPr>
          <w:rFonts w:ascii="宋体" w:hAnsi="宋体" w:hint="eastAsia"/>
          <w:b/>
          <w:sz w:val="36"/>
          <w:szCs w:val="36"/>
        </w:rPr>
        <w:t>保利联合化工控股集团股份有限公司</w:t>
      </w:r>
    </w:p>
    <w:p w14:paraId="028EB10A" w14:textId="77777777" w:rsidR="00F57A45" w:rsidRPr="002D57F8" w:rsidRDefault="00000000">
      <w:pPr>
        <w:spacing w:line="360" w:lineRule="auto"/>
        <w:jc w:val="center"/>
        <w:outlineLvl w:val="0"/>
        <w:rPr>
          <w:rFonts w:ascii="宋体" w:hAnsi="宋体" w:hint="eastAsia"/>
          <w:b/>
          <w:sz w:val="36"/>
          <w:szCs w:val="36"/>
        </w:rPr>
      </w:pPr>
      <w:r w:rsidRPr="002D57F8">
        <w:rPr>
          <w:rFonts w:ascii="宋体" w:hAnsi="宋体" w:hint="eastAsia"/>
          <w:b/>
          <w:sz w:val="36"/>
          <w:szCs w:val="36"/>
        </w:rPr>
        <w:t>2025年度业绩预告</w:t>
      </w:r>
    </w:p>
    <w:p w14:paraId="372A77DE" w14:textId="77777777" w:rsidR="00F57A45" w:rsidRPr="002D57F8" w:rsidRDefault="00F57A45">
      <w:pPr>
        <w:tabs>
          <w:tab w:val="left" w:pos="3240"/>
        </w:tabs>
        <w:spacing w:line="560" w:lineRule="exact"/>
        <w:jc w:val="center"/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</w:pPr>
    </w:p>
    <w:p w14:paraId="73455212" w14:textId="77777777" w:rsidR="00F57A45" w:rsidRPr="002D57F8" w:rsidRDefault="00000000">
      <w:pPr>
        <w:widowControl/>
        <w:ind w:firstLineChars="200" w:firstLine="482"/>
        <w:jc w:val="left"/>
        <w:rPr>
          <w:rFonts w:ascii="宋体" w:hAnsi="宋体" w:cs="Arial" w:hint="eastAsia"/>
          <w:kern w:val="0"/>
          <w:sz w:val="28"/>
          <w:szCs w:val="28"/>
        </w:rPr>
      </w:pPr>
      <w:r w:rsidRPr="002D57F8">
        <w:rPr>
          <w:rFonts w:ascii="宋体" w:hAnsi="宋体" w:cs="Arial" w:hint="eastAsia"/>
          <w:b/>
          <w:bCs/>
          <w:kern w:val="0"/>
          <w:sz w:val="24"/>
        </w:rPr>
        <w:t>本公司及董事会全体成员保证信息披露的内容真实、准确、完整，没有虚假记载、误导性陈述或重大遗漏。</w:t>
      </w:r>
    </w:p>
    <w:p w14:paraId="456A65E3" w14:textId="77777777" w:rsidR="00F57A45" w:rsidRPr="002D57F8" w:rsidRDefault="00F57A45">
      <w:pPr>
        <w:widowControl/>
        <w:ind w:firstLineChars="200" w:firstLine="560"/>
        <w:jc w:val="left"/>
        <w:rPr>
          <w:rFonts w:ascii="宋体" w:hAnsi="宋体" w:cs="Arial" w:hint="eastAsia"/>
          <w:kern w:val="0"/>
          <w:sz w:val="28"/>
          <w:szCs w:val="28"/>
        </w:rPr>
      </w:pPr>
    </w:p>
    <w:p w14:paraId="1DD39E4B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一、本期业绩预计情况</w:t>
      </w:r>
    </w:p>
    <w:p w14:paraId="5A6C5B24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1.业绩预告期间：2025年1月1日至2025年12月31日</w:t>
      </w:r>
    </w:p>
    <w:p w14:paraId="09F16141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2.预计的经营业绩：亏损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4645"/>
        <w:gridCol w:w="2792"/>
      </w:tblGrid>
      <w:tr w:rsidR="00F57A45" w:rsidRPr="002D57F8" w14:paraId="3DA785C1" w14:textId="77777777">
        <w:trPr>
          <w:trHeight w:val="435"/>
        </w:trPr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A0AE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项  目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F12E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本报告期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2D82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上年同期</w:t>
            </w:r>
          </w:p>
        </w:tc>
      </w:tr>
      <w:tr w:rsidR="00F57A45" w:rsidRPr="002D57F8" w14:paraId="61DDA535" w14:textId="77777777">
        <w:trPr>
          <w:trHeight w:val="595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3196C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归属于上市公司股东的净利润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3C0B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亏损：67,000万元–100,000万元</w:t>
            </w:r>
          </w:p>
        </w:tc>
        <w:tc>
          <w:tcPr>
            <w:tcW w:w="2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135CD8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盈利：3,927万元</w:t>
            </w:r>
          </w:p>
        </w:tc>
      </w:tr>
      <w:tr w:rsidR="00F57A45" w:rsidRPr="002D57F8" w14:paraId="1C4D54A0" w14:textId="77777777">
        <w:trPr>
          <w:trHeight w:val="675"/>
        </w:trPr>
        <w:tc>
          <w:tcPr>
            <w:tcW w:w="22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17BAD3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扣除非经常性损益后的净利润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D897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亏损：70,000万元–105,000万元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FEB94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亏损：7,878万元</w:t>
            </w:r>
          </w:p>
        </w:tc>
      </w:tr>
      <w:tr w:rsidR="00F57A45" w:rsidRPr="002D57F8" w14:paraId="51E387AE" w14:textId="77777777">
        <w:trPr>
          <w:trHeight w:val="435"/>
        </w:trPr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3904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基本每股收益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45D0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亏损：1.3846元/股–2.0666元/股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F23F7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盈利：0.0811元/股</w:t>
            </w:r>
          </w:p>
        </w:tc>
      </w:tr>
    </w:tbl>
    <w:p w14:paraId="20D90CF5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二、与会计师事务所沟通情况</w:t>
      </w:r>
    </w:p>
    <w:p w14:paraId="41D2D850" w14:textId="740DC9A7" w:rsidR="00F57A45" w:rsidRPr="002D57F8" w:rsidRDefault="002D57F8">
      <w:pPr>
        <w:widowControl/>
        <w:ind w:firstLineChars="200" w:firstLine="640"/>
        <w:jc w:val="left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本次业绩预告相关数据是公司财务部门初步测算的结果，未经</w:t>
      </w:r>
      <w:r>
        <w:rPr>
          <w:rFonts w:ascii="仿宋" w:eastAsia="仿宋" w:hAnsi="仿宋" w:cs="宋体"/>
          <w:sz w:val="32"/>
          <w:szCs w:val="32"/>
        </w:rPr>
        <w:t>会计师事务所审计。公司已就本次业绩预告有关事项与会计师事务所进行了预沟通，且与会计师事务所在业绩预告方面不存在分歧。具体数据以审计结果为准</w:t>
      </w:r>
      <w:r w:rsidRPr="002D57F8">
        <w:rPr>
          <w:rFonts w:ascii="仿宋" w:eastAsia="仿宋" w:hAnsi="仿宋" w:cs="宋体"/>
          <w:sz w:val="32"/>
          <w:szCs w:val="32"/>
        </w:rPr>
        <w:t>。</w:t>
      </w:r>
    </w:p>
    <w:p w14:paraId="50C14F93" w14:textId="77777777" w:rsidR="00F57A45" w:rsidRPr="002D57F8" w:rsidRDefault="00000000">
      <w:pPr>
        <w:numPr>
          <w:ilvl w:val="0"/>
          <w:numId w:val="1"/>
        </w:numPr>
        <w:tabs>
          <w:tab w:val="left" w:pos="3240"/>
        </w:tabs>
        <w:spacing w:line="360" w:lineRule="auto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业绩变动原因说明</w:t>
      </w:r>
    </w:p>
    <w:p w14:paraId="2316A46E" w14:textId="152D86D3" w:rsidR="00F57A45" w:rsidRPr="002D57F8" w:rsidRDefault="002D57F8">
      <w:pPr>
        <w:tabs>
          <w:tab w:val="left" w:pos="3240"/>
        </w:tabs>
        <w:spacing w:line="560" w:lineRule="exact"/>
        <w:ind w:firstLineChars="200" w:firstLine="640"/>
        <w:outlineLvl w:val="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/>
          <w:sz w:val="32"/>
          <w:szCs w:val="32"/>
        </w:rPr>
        <w:t>公司预计2025年度归属于上市公司股东的净利润为亏损，主要系本年度应收款项清收进度未达预期，应收款项余额较大，公司根据企业会计准则计提减值损失，叠加财务费用较高。公司</w:t>
      </w:r>
      <w:r w:rsidR="00F077B1">
        <w:rPr>
          <w:rFonts w:ascii="仿宋" w:eastAsia="仿宋" w:hAnsi="仿宋" w:cs="宋体" w:hint="eastAsia"/>
          <w:sz w:val="32"/>
          <w:szCs w:val="32"/>
        </w:rPr>
        <w:t>将</w:t>
      </w:r>
      <w:r w:rsidRPr="002D57F8">
        <w:rPr>
          <w:rFonts w:ascii="仿宋" w:eastAsia="仿宋" w:hAnsi="仿宋" w:cs="宋体"/>
          <w:sz w:val="32"/>
          <w:szCs w:val="32"/>
        </w:rPr>
        <w:t>持续加</w:t>
      </w:r>
      <w:r w:rsidRPr="002D57F8">
        <w:rPr>
          <w:rFonts w:ascii="仿宋" w:eastAsia="仿宋" w:hAnsi="仿宋" w:cs="宋体"/>
          <w:sz w:val="32"/>
          <w:szCs w:val="32"/>
        </w:rPr>
        <w:lastRenderedPageBreak/>
        <w:t>强与相关各方的沟通，积极促进应收款项的回收</w:t>
      </w:r>
      <w:r w:rsidRPr="002D57F8">
        <w:rPr>
          <w:rFonts w:ascii="仿宋" w:eastAsia="仿宋" w:hAnsi="仿宋" w:cs="宋体" w:hint="eastAsia"/>
          <w:sz w:val="32"/>
          <w:szCs w:val="32"/>
        </w:rPr>
        <w:t>。</w:t>
      </w:r>
    </w:p>
    <w:p w14:paraId="36AEC443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四、风险提示</w:t>
      </w:r>
    </w:p>
    <w:p w14:paraId="69AC0FEF" w14:textId="77777777" w:rsidR="00F57A45" w:rsidRPr="002D57F8" w:rsidRDefault="00000000">
      <w:pPr>
        <w:widowControl/>
        <w:ind w:firstLineChars="200" w:firstLine="640"/>
        <w:jc w:val="left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本次业绩预告的相关数据为公司初步预测的结果，具体财务数据以公司披露</w:t>
      </w:r>
      <w:r w:rsidRPr="00B30049">
        <w:rPr>
          <w:rFonts w:ascii="仿宋" w:eastAsia="仿宋" w:hAnsi="仿宋" w:cs="宋体"/>
          <w:sz w:val="32"/>
          <w:szCs w:val="32"/>
        </w:rPr>
        <w:t>的</w:t>
      </w:r>
      <w:r w:rsidRPr="002D57F8">
        <w:rPr>
          <w:rFonts w:ascii="仿宋" w:eastAsia="仿宋" w:hAnsi="仿宋" w:cs="宋体" w:hint="eastAsia"/>
          <w:sz w:val="32"/>
          <w:szCs w:val="32"/>
        </w:rPr>
        <w:t>2025年年度报告为准，敬请广大投资者谨慎决策，注意投资风险。</w:t>
      </w:r>
    </w:p>
    <w:p w14:paraId="08EC3C9D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特此公告。</w:t>
      </w:r>
    </w:p>
    <w:p w14:paraId="69DDFF04" w14:textId="77777777" w:rsidR="00F57A45" w:rsidRPr="002D57F8" w:rsidRDefault="00F57A45">
      <w:pPr>
        <w:spacing w:line="560" w:lineRule="exact"/>
        <w:ind w:firstLineChars="600" w:firstLine="1920"/>
        <w:rPr>
          <w:rFonts w:ascii="仿宋" w:eastAsia="仿宋" w:hAnsi="仿宋" w:cs="宋体" w:hint="eastAsia"/>
          <w:sz w:val="32"/>
          <w:szCs w:val="32"/>
        </w:rPr>
      </w:pPr>
    </w:p>
    <w:p w14:paraId="048D2E33" w14:textId="77777777" w:rsidR="00F57A45" w:rsidRPr="002D57F8" w:rsidRDefault="00F57A45">
      <w:pPr>
        <w:spacing w:line="560" w:lineRule="exact"/>
        <w:ind w:firstLineChars="600" w:firstLine="1920"/>
        <w:rPr>
          <w:rFonts w:ascii="仿宋" w:eastAsia="仿宋" w:hAnsi="仿宋" w:cs="宋体" w:hint="eastAsia"/>
          <w:sz w:val="32"/>
          <w:szCs w:val="32"/>
        </w:rPr>
      </w:pPr>
    </w:p>
    <w:p w14:paraId="373203AA" w14:textId="77777777" w:rsidR="00F57A45" w:rsidRPr="002D57F8" w:rsidRDefault="00000000">
      <w:pPr>
        <w:tabs>
          <w:tab w:val="left" w:pos="3240"/>
        </w:tabs>
        <w:spacing w:line="560" w:lineRule="exact"/>
        <w:ind w:firstLineChars="1000" w:firstLine="3200"/>
        <w:jc w:val="right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保利联合化工控股集团股份有限公司董事会</w:t>
      </w:r>
    </w:p>
    <w:p w14:paraId="14C35FE3" w14:textId="77777777" w:rsidR="00F57A45" w:rsidRDefault="00000000">
      <w:pPr>
        <w:tabs>
          <w:tab w:val="left" w:pos="3240"/>
        </w:tabs>
        <w:spacing w:line="560" w:lineRule="exact"/>
        <w:ind w:right="1280" w:firstLineChars="1600" w:firstLine="5120"/>
        <w:jc w:val="center"/>
        <w:outlineLvl w:val="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2026年1月30日</w:t>
      </w:r>
    </w:p>
    <w:sectPr w:rsidR="00F57A45">
      <w:pgSz w:w="11906" w:h="16838"/>
      <w:pgMar w:top="1440" w:right="1106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636EA" w14:textId="77777777" w:rsidR="00062169" w:rsidRDefault="00062169"/>
  </w:endnote>
  <w:endnote w:type="continuationSeparator" w:id="0">
    <w:p w14:paraId="549213A4" w14:textId="77777777" w:rsidR="00062169" w:rsidRDefault="000621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82D10F"/>
    <w:multiLevelType w:val="singleLevel"/>
    <w:tmpl w:val="8A82D10F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 w16cid:durableId="1060330336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62FE5D2E-4B76-4984-8ED7-6838EA698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10</cp:revision>
  <cp:lastPrinted>2026-01-20T15:41:00Z</cp:lastPrinted>
  <dcterms:created xsi:type="dcterms:W3CDTF">2026-01-27T09:03:00Z</dcterms:created>
  <dcterms:modified xsi:type="dcterms:W3CDTF">2026-01-29T09:22:00Z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41FDA22079634F9B9CFDC94AF772A73D_13</vt:lpwstr>
  </property>
  <property fmtid="{D5CDD505-2E9C-101B-9397-08002B2CF9AE}" pid="4" name="KSOTemplateDocerSaveRecord">
    <vt:lpwstr>eyJoZGlkIjoiMGMzODAyYWU1YTdkNDYzMDBmZTdjMjVlNzMxNzhhMTAiLCJ1c2VySWQiOiIxNjg4NTg3NDEwIn0=</vt:lpwstr>
  </property>
</Properties>
</file>